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DIR-WTCiWUU.002.7.2025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19 maja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2917FE" w:rsidP="002917F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17FE" w:rsidP="002917F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2917FE" w:rsidP="002917F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2917FE" w:rsidP="002917FE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Raport z postępu rzeczowo-finansowego projektu informatycznego za I kwartał 2025 roku – „</w:t>
      </w:r>
      <w:r w:rsidRPr="002917FE">
        <w:rPr>
          <w:rFonts w:ascii="Lato" w:eastAsia="Times New Roman" w:hAnsi="Lato" w:cs="Arial"/>
          <w:i/>
          <w:iCs/>
          <w:sz w:val="20"/>
          <w:szCs w:val="24"/>
          <w:lang w:eastAsia="pl-PL"/>
        </w:rPr>
        <w:t>Prowadzenie i rozwój Zintegrowanego Rejestru Kwalifikacji jako narzędzia wspierającego uczenie się przez całe życie (ZRK3)</w:t>
      </w:r>
      <w:r>
        <w:rPr>
          <w:rFonts w:ascii="Lato" w:eastAsia="Times New Roman" w:hAnsi="Lato" w:cs="Arial"/>
          <w:sz w:val="20"/>
          <w:szCs w:val="24"/>
          <w:lang w:eastAsia="pl-PL"/>
        </w:rPr>
        <w:t>”.</w:t>
      </w: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917FE" w:rsidP="002917F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2917FE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2025-05-19T06:41:00Z</dcterms:modified>
</cp:coreProperties>
</file>